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CE" w:rsidRDefault="00EE6D49">
      <w:pPr>
        <w:rPr>
          <w:rFonts w:ascii="Arial" w:hAnsi="Arial" w:cs="Arial"/>
          <w:sz w:val="40"/>
          <w:szCs w:val="40"/>
          <w:u w:val="single"/>
          <w:lang w:val="en-US"/>
        </w:rPr>
      </w:pPr>
      <w:r w:rsidRPr="00C45414">
        <w:rPr>
          <w:rFonts w:ascii="Arial" w:hAnsi="Arial" w:cs="Arial"/>
          <w:sz w:val="40"/>
          <w:szCs w:val="40"/>
          <w:u w:val="single"/>
          <w:lang w:val="en-US"/>
        </w:rPr>
        <w:t>P</w:t>
      </w:r>
      <w:r w:rsidR="00DC3031">
        <w:rPr>
          <w:rFonts w:ascii="Arial" w:hAnsi="Arial" w:cs="Arial"/>
          <w:sz w:val="40"/>
          <w:szCs w:val="40"/>
          <w:u w:val="single"/>
          <w:lang w:val="en-US"/>
        </w:rPr>
        <w:t>roduct S</w:t>
      </w:r>
      <w:r w:rsidR="005F2143">
        <w:rPr>
          <w:rFonts w:ascii="Arial" w:hAnsi="Arial" w:cs="Arial"/>
          <w:sz w:val="40"/>
          <w:szCs w:val="40"/>
          <w:u w:val="single"/>
          <w:lang w:val="en-US"/>
        </w:rPr>
        <w:t>pecifications Florentines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333"/>
        <w:gridCol w:w="7059"/>
      </w:tblGrid>
      <w:tr w:rsidR="005F2143" w:rsidTr="00C80067">
        <w:trPr>
          <w:cantSplit/>
          <w:trHeight w:val="636"/>
        </w:trPr>
        <w:tc>
          <w:tcPr>
            <w:tcW w:w="10020" w:type="dxa"/>
            <w:gridSpan w:val="3"/>
          </w:tcPr>
          <w:p w:rsidR="005F2143" w:rsidRPr="0044360A" w:rsidRDefault="005F2143" w:rsidP="00CE3312">
            <w:pPr>
              <w:pStyle w:val="Heading1"/>
              <w:rPr>
                <w:szCs w:val="24"/>
              </w:rPr>
            </w:pPr>
            <w:r>
              <w:t xml:space="preserve">PRODUCT: </w:t>
            </w:r>
            <w:r>
              <w:rPr>
                <w:szCs w:val="24"/>
              </w:rPr>
              <w:t>FLORENTINES (GLUTEN FREE</w:t>
            </w:r>
            <w:proofErr w:type="gramStart"/>
            <w:r>
              <w:rPr>
                <w:szCs w:val="24"/>
              </w:rPr>
              <w:t xml:space="preserve">)  </w:t>
            </w:r>
            <w:r w:rsidRPr="0044360A">
              <w:rPr>
                <w:szCs w:val="24"/>
              </w:rPr>
              <w:t>-</w:t>
            </w:r>
            <w:proofErr w:type="gramEnd"/>
            <w:r w:rsidRPr="0044360A">
              <w:rPr>
                <w:b w:val="0"/>
                <w:szCs w:val="24"/>
              </w:rPr>
              <w:t xml:space="preserve"> </w:t>
            </w:r>
            <w:r w:rsidRPr="0044360A">
              <w:rPr>
                <w:szCs w:val="24"/>
              </w:rPr>
              <w:t>2</w:t>
            </w:r>
            <w:r w:rsidR="00C80067">
              <w:rPr>
                <w:szCs w:val="24"/>
              </w:rPr>
              <w:t>0</w:t>
            </w:r>
            <w:r w:rsidRPr="0044360A">
              <w:rPr>
                <w:szCs w:val="24"/>
              </w:rPr>
              <w:t xml:space="preserve"> x 4</w:t>
            </w:r>
            <w:r>
              <w:rPr>
                <w:szCs w:val="24"/>
              </w:rPr>
              <w:t>5</w:t>
            </w:r>
            <w:r w:rsidRPr="0044360A">
              <w:rPr>
                <w:szCs w:val="24"/>
              </w:rPr>
              <w:t>g</w:t>
            </w:r>
          </w:p>
          <w:p w:rsidR="005F2143" w:rsidRPr="00786025" w:rsidRDefault="00307671" w:rsidP="00CE3312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</w:tc>
      </w:tr>
      <w:tr w:rsidR="005F2143" w:rsidTr="00307671">
        <w:trPr>
          <w:trHeight w:val="804"/>
        </w:trPr>
        <w:tc>
          <w:tcPr>
            <w:tcW w:w="628" w:type="dxa"/>
          </w:tcPr>
          <w:p w:rsidR="005F2143" w:rsidRDefault="005F2143" w:rsidP="005F214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333" w:type="dxa"/>
          </w:tcPr>
          <w:p w:rsidR="005F2143" w:rsidRDefault="005F2143" w:rsidP="00CE3312">
            <w:pPr>
              <w:pStyle w:val="Heading2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Product Description</w:t>
            </w:r>
          </w:p>
        </w:tc>
        <w:tc>
          <w:tcPr>
            <w:tcW w:w="7059" w:type="dxa"/>
          </w:tcPr>
          <w:p w:rsidR="005F2143" w:rsidRPr="00C80067" w:rsidRDefault="005F2143" w:rsidP="00C8006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8006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florentines</w:t>
            </w:r>
            <w:proofErr w:type="spellEnd"/>
            <w:r>
              <w:rPr>
                <w:sz w:val="24"/>
              </w:rPr>
              <w:t xml:space="preserve"> coated with chocolate underneath and a red glaze cherry on the top.</w:t>
            </w:r>
          </w:p>
        </w:tc>
      </w:tr>
      <w:tr w:rsidR="005F2143" w:rsidTr="00307671">
        <w:trPr>
          <w:trHeight w:val="2119"/>
        </w:trPr>
        <w:tc>
          <w:tcPr>
            <w:tcW w:w="628" w:type="dxa"/>
          </w:tcPr>
          <w:p w:rsidR="005F2143" w:rsidRDefault="005F2143" w:rsidP="005F214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333" w:type="dxa"/>
          </w:tcPr>
          <w:p w:rsidR="005F2143" w:rsidRDefault="005F2143" w:rsidP="00CE3312">
            <w:pPr>
              <w:pStyle w:val="Heading2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Ingredients</w:t>
            </w:r>
          </w:p>
          <w:p w:rsidR="005F2143" w:rsidRDefault="005F2143" w:rsidP="00CE3312">
            <w:pPr>
              <w:rPr>
                <w:sz w:val="24"/>
              </w:rPr>
            </w:pPr>
          </w:p>
          <w:p w:rsidR="005F2143" w:rsidRDefault="005F2143" w:rsidP="00CE3312">
            <w:pPr>
              <w:rPr>
                <w:sz w:val="24"/>
              </w:rPr>
            </w:pPr>
          </w:p>
        </w:tc>
        <w:tc>
          <w:tcPr>
            <w:tcW w:w="7059" w:type="dxa"/>
          </w:tcPr>
          <w:p w:rsidR="005F2143" w:rsidRPr="00C80067" w:rsidRDefault="005F2143" w:rsidP="00C80067">
            <w:pPr>
              <w:autoSpaceDE w:val="0"/>
              <w:autoSpaceDN w:val="0"/>
              <w:adjustRightInd w:val="0"/>
              <w:spacing w:before="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  <w:r w:rsidRPr="002172C7">
              <w:rPr>
                <w:sz w:val="24"/>
                <w:lang w:val="en-US"/>
              </w:rPr>
              <w:t>orn flakes gluten free (maize flour, sugar, maltodextrin, salt, emulsifier 471), glace cherries (cherries, glucose-fructose syrup, sucrose, preservatives (</w:t>
            </w:r>
            <w:r w:rsidR="00C80067" w:rsidRPr="002172C7">
              <w:rPr>
                <w:sz w:val="24"/>
                <w:lang w:val="en-US"/>
              </w:rPr>
              <w:t>potassium</w:t>
            </w:r>
            <w:r w:rsidRPr="002172C7">
              <w:rPr>
                <w:sz w:val="24"/>
                <w:lang w:val="en-US"/>
              </w:rPr>
              <w:t xml:space="preserve"> sorbate, </w:t>
            </w:r>
            <w:proofErr w:type="spellStart"/>
            <w:r w:rsidRPr="002172C7">
              <w:rPr>
                <w:sz w:val="24"/>
                <w:lang w:val="en-US"/>
              </w:rPr>
              <w:t>sulphur</w:t>
            </w:r>
            <w:proofErr w:type="spellEnd"/>
            <w:r w:rsidRPr="002172C7">
              <w:rPr>
                <w:sz w:val="24"/>
                <w:lang w:val="en-US"/>
              </w:rPr>
              <w:t xml:space="preserve"> dioxide), food acid (citric), colour (127)), compound chocolate (sugar, vegetable fat, cocoa powder, milk solids, emulsifiers (soy lecithin, 476), flavour), condensed milk (milk, sugar), almonds, sultanas</w:t>
            </w:r>
            <w:r w:rsidR="00C80067">
              <w:rPr>
                <w:sz w:val="24"/>
                <w:lang w:val="en-US"/>
              </w:rPr>
              <w:t xml:space="preserve">, </w:t>
            </w:r>
            <w:r w:rsidRPr="002172C7">
              <w:rPr>
                <w:sz w:val="24"/>
                <w:lang w:val="en-US"/>
              </w:rPr>
              <w:t xml:space="preserve">vegetable oil). </w:t>
            </w:r>
          </w:p>
        </w:tc>
      </w:tr>
      <w:tr w:rsidR="005F2143" w:rsidTr="00307671">
        <w:trPr>
          <w:trHeight w:val="1246"/>
        </w:trPr>
        <w:tc>
          <w:tcPr>
            <w:tcW w:w="628" w:type="dxa"/>
          </w:tcPr>
          <w:p w:rsidR="005F2143" w:rsidRDefault="005F2143" w:rsidP="005F214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333" w:type="dxa"/>
          </w:tcPr>
          <w:p w:rsidR="005F2143" w:rsidRDefault="005F2143" w:rsidP="00CE3312">
            <w:pPr>
              <w:pStyle w:val="Heading1"/>
              <w:rPr>
                <w:u w:val="single"/>
              </w:rPr>
            </w:pPr>
            <w:r>
              <w:rPr>
                <w:u w:val="single"/>
              </w:rPr>
              <w:t>Packaging Profile</w:t>
            </w:r>
          </w:p>
        </w:tc>
        <w:tc>
          <w:tcPr>
            <w:tcW w:w="7059" w:type="dxa"/>
          </w:tcPr>
          <w:p w:rsidR="005F2143" w:rsidRDefault="005F2143" w:rsidP="00CE331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C80067">
              <w:rPr>
                <w:sz w:val="24"/>
                <w:lang w:val="en-US"/>
              </w:rPr>
              <w:t>0</w:t>
            </w:r>
            <w:r>
              <w:rPr>
                <w:sz w:val="24"/>
                <w:lang w:val="en-US"/>
              </w:rPr>
              <w:t xml:space="preserve"> pieces x 40g</w:t>
            </w:r>
          </w:p>
          <w:p w:rsidR="005F2143" w:rsidRDefault="005F2143" w:rsidP="00CE331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Primary packaging: Poly bags.</w:t>
            </w:r>
          </w:p>
          <w:p w:rsidR="005F2143" w:rsidRPr="00C80067" w:rsidRDefault="005F2143" w:rsidP="00C8006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Secondary packaging: Pastry box.</w:t>
            </w:r>
          </w:p>
        </w:tc>
      </w:tr>
      <w:tr w:rsidR="005F2143" w:rsidTr="00307671">
        <w:trPr>
          <w:trHeight w:val="941"/>
        </w:trPr>
        <w:tc>
          <w:tcPr>
            <w:tcW w:w="628" w:type="dxa"/>
          </w:tcPr>
          <w:p w:rsidR="005F2143" w:rsidRDefault="005F2143" w:rsidP="005F214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333" w:type="dxa"/>
          </w:tcPr>
          <w:p w:rsidR="005F2143" w:rsidRDefault="005F2143" w:rsidP="00CE3312">
            <w:pPr>
              <w:rPr>
                <w:b/>
                <w:sz w:val="24"/>
                <w:u w:val="single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Storage and shelf life</w:t>
            </w:r>
          </w:p>
          <w:p w:rsidR="005F2143" w:rsidRDefault="005F2143" w:rsidP="00CE3312">
            <w:pPr>
              <w:rPr>
                <w:b/>
                <w:sz w:val="24"/>
                <w:u w:val="single"/>
                <w:lang w:val="en-US"/>
              </w:rPr>
            </w:pPr>
          </w:p>
        </w:tc>
        <w:tc>
          <w:tcPr>
            <w:tcW w:w="7059" w:type="dxa"/>
          </w:tcPr>
          <w:p w:rsidR="005F2143" w:rsidRDefault="005F2143" w:rsidP="00CE3312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Store in airtight packaging or container at 15° to 24°C</w:t>
            </w:r>
          </w:p>
          <w:p w:rsidR="005F2143" w:rsidRDefault="005F2143" w:rsidP="00CE331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Shelf life 3 months from date of manufacture.</w:t>
            </w:r>
          </w:p>
        </w:tc>
      </w:tr>
      <w:tr w:rsidR="005F2143" w:rsidTr="00307671">
        <w:trPr>
          <w:trHeight w:val="1677"/>
        </w:trPr>
        <w:tc>
          <w:tcPr>
            <w:tcW w:w="628" w:type="dxa"/>
          </w:tcPr>
          <w:p w:rsidR="005F2143" w:rsidRDefault="005F2143" w:rsidP="005F214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333" w:type="dxa"/>
          </w:tcPr>
          <w:p w:rsidR="005F2143" w:rsidRDefault="005F2143" w:rsidP="00CE3312">
            <w:pPr>
              <w:rPr>
                <w:b/>
                <w:sz w:val="24"/>
                <w:u w:val="single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Distribution and customer suitability</w:t>
            </w:r>
          </w:p>
          <w:p w:rsidR="005F2143" w:rsidRDefault="005F2143" w:rsidP="00CE3312">
            <w:pPr>
              <w:rPr>
                <w:b/>
                <w:sz w:val="24"/>
                <w:u w:val="single"/>
                <w:lang w:val="en-US"/>
              </w:rPr>
            </w:pPr>
          </w:p>
        </w:tc>
        <w:tc>
          <w:tcPr>
            <w:tcW w:w="7059" w:type="dxa"/>
          </w:tcPr>
          <w:p w:rsidR="00332DB4" w:rsidRDefault="00332DB4" w:rsidP="00332DB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Product to be delivered ambient or under 5</w:t>
            </w:r>
            <w:r>
              <w:rPr>
                <w:rFonts w:ascii="Arial" w:hAnsi="Arial"/>
                <w:sz w:val="24"/>
                <w:lang w:val="en-US"/>
              </w:rPr>
              <w:t>°.</w:t>
            </w:r>
            <w:r>
              <w:rPr>
                <w:sz w:val="24"/>
                <w:lang w:val="en-US"/>
              </w:rPr>
              <w:t xml:space="preserve">  </w:t>
            </w:r>
          </w:p>
          <w:p w:rsidR="005F2143" w:rsidRDefault="005F2143" w:rsidP="00332DB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Suitable for general consumption.  Persons with allergies or reactions to specific ingredients to avoid.  </w:t>
            </w:r>
            <w:r w:rsidR="00C80067">
              <w:rPr>
                <w:sz w:val="24"/>
                <w:lang w:val="en-US"/>
              </w:rPr>
              <w:t xml:space="preserve">                                                      </w:t>
            </w:r>
            <w:r>
              <w:rPr>
                <w:sz w:val="24"/>
                <w:lang w:val="en-US"/>
              </w:rPr>
              <w:t>C</w:t>
            </w:r>
            <w:r w:rsidRPr="002172C7">
              <w:rPr>
                <w:sz w:val="24"/>
                <w:lang w:val="en-US"/>
              </w:rPr>
              <w:t>ontains milk, soybean, tree nuts,</w:t>
            </w:r>
            <w:r w:rsidR="00332DB4">
              <w:rPr>
                <w:sz w:val="24"/>
                <w:lang w:val="en-US"/>
              </w:rPr>
              <w:t xml:space="preserve"> peanuts &amp; </w:t>
            </w:r>
            <w:r w:rsidRPr="002172C7">
              <w:rPr>
                <w:sz w:val="24"/>
                <w:lang w:val="en-US"/>
              </w:rPr>
              <w:t>sulphites.</w:t>
            </w:r>
            <w:r w:rsidR="00307671">
              <w:rPr>
                <w:sz w:val="24"/>
                <w:lang w:val="en-US"/>
              </w:rPr>
              <w:t xml:space="preserve"> </w:t>
            </w:r>
            <w:bookmarkStart w:id="0" w:name="_GoBack"/>
            <w:r w:rsidR="00307671">
              <w:rPr>
                <w:sz w:val="24"/>
                <w:lang w:val="en-US"/>
              </w:rPr>
              <w:t>May contain traces of peanuts &amp; their products.</w:t>
            </w:r>
            <w:bookmarkEnd w:id="0"/>
          </w:p>
        </w:tc>
      </w:tr>
      <w:tr w:rsidR="005F2143" w:rsidTr="00307671">
        <w:trPr>
          <w:trHeight w:val="720"/>
        </w:trPr>
        <w:tc>
          <w:tcPr>
            <w:tcW w:w="628" w:type="dxa"/>
          </w:tcPr>
          <w:p w:rsidR="005F2143" w:rsidRDefault="005F2143" w:rsidP="005F214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333" w:type="dxa"/>
          </w:tcPr>
          <w:p w:rsidR="005F2143" w:rsidRDefault="005F2143" w:rsidP="00CE3312">
            <w:pPr>
              <w:rPr>
                <w:b/>
                <w:sz w:val="24"/>
                <w:u w:val="single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Final customer preparation</w:t>
            </w:r>
          </w:p>
        </w:tc>
        <w:tc>
          <w:tcPr>
            <w:tcW w:w="7059" w:type="dxa"/>
          </w:tcPr>
          <w:p w:rsidR="005F2143" w:rsidRDefault="005F2143" w:rsidP="00CE331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Serve from pack.  Ready-to-eat - no preparation required.</w:t>
            </w:r>
          </w:p>
          <w:p w:rsidR="005F2143" w:rsidRDefault="005F2143" w:rsidP="00CE3312">
            <w:pPr>
              <w:rPr>
                <w:sz w:val="24"/>
                <w:lang w:val="en-US"/>
              </w:rPr>
            </w:pPr>
          </w:p>
        </w:tc>
      </w:tr>
    </w:tbl>
    <w:p w:rsidR="005F2143" w:rsidRDefault="005F2143" w:rsidP="005F2143">
      <w:pPr>
        <w:rPr>
          <w:lang w:val="en-US"/>
        </w:rPr>
      </w:pPr>
    </w:p>
    <w:tbl>
      <w:tblPr>
        <w:tblpPr w:leftFromText="180" w:rightFromText="180" w:vertAnchor="text" w:horzAnchor="margin" w:tblpXSpec="right" w:tblpY="-130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04"/>
        <w:gridCol w:w="71"/>
        <w:gridCol w:w="307"/>
        <w:gridCol w:w="575"/>
        <w:gridCol w:w="529"/>
      </w:tblGrid>
      <w:tr w:rsidR="005F2143" w:rsidRPr="00A566AD" w:rsidTr="00C80067">
        <w:trPr>
          <w:cantSplit/>
          <w:trHeight w:val="815"/>
        </w:trPr>
        <w:tc>
          <w:tcPr>
            <w:tcW w:w="29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143" w:rsidRPr="00A566AD" w:rsidRDefault="005F2143" w:rsidP="00CE3312">
            <w:pPr>
              <w:pStyle w:val="Heading3"/>
              <w:rPr>
                <w:szCs w:val="16"/>
              </w:rPr>
            </w:pPr>
            <w:r w:rsidRPr="00A566AD">
              <w:rPr>
                <w:szCs w:val="16"/>
              </w:rPr>
              <w:t>NUTRITION INFORMATION</w:t>
            </w:r>
          </w:p>
        </w:tc>
      </w:tr>
      <w:tr w:rsidR="005F2143" w:rsidTr="00C80067">
        <w:trPr>
          <w:cantSplit/>
          <w:trHeight w:val="309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  <w:r>
              <w:rPr>
                <w:sz w:val="14"/>
              </w:rPr>
              <w:t>Servings per package: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143" w:rsidRDefault="005F2143" w:rsidP="00C80067">
            <w:pPr>
              <w:rPr>
                <w:sz w:val="14"/>
              </w:rPr>
            </w:pPr>
            <w:r>
              <w:rPr>
                <w:sz w:val="14"/>
              </w:rPr>
              <w:t>2</w:t>
            </w:r>
            <w:r w:rsidR="00C80067">
              <w:rPr>
                <w:sz w:val="14"/>
              </w:rPr>
              <w:t>0</w:t>
            </w:r>
            <w:r>
              <w:rPr>
                <w:sz w:val="14"/>
              </w:rPr>
              <w:t xml:space="preserve"> </w:t>
            </w:r>
          </w:p>
        </w:tc>
      </w:tr>
      <w:tr w:rsidR="005F2143" w:rsidTr="00C80067">
        <w:trPr>
          <w:cantSplit/>
          <w:trHeight w:val="319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  <w:r>
              <w:rPr>
                <w:sz w:val="14"/>
              </w:rPr>
              <w:t>Average serving size: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143" w:rsidRDefault="005F2143" w:rsidP="00CE3312">
            <w:pPr>
              <w:rPr>
                <w:sz w:val="14"/>
              </w:rPr>
            </w:pPr>
            <w:r w:rsidRPr="00600F08">
              <w:rPr>
                <w:b/>
                <w:sz w:val="14"/>
              </w:rPr>
              <w:t>4</w:t>
            </w:r>
            <w:r>
              <w:rPr>
                <w:b/>
                <w:sz w:val="14"/>
              </w:rPr>
              <w:t>5</w:t>
            </w:r>
            <w:r w:rsidRPr="00600F08">
              <w:rPr>
                <w:b/>
                <w:sz w:val="14"/>
              </w:rPr>
              <w:t>g</w:t>
            </w:r>
          </w:p>
        </w:tc>
      </w:tr>
      <w:tr w:rsidR="005F2143" w:rsidRPr="006242EB" w:rsidTr="00C80067">
        <w:trPr>
          <w:trHeight w:val="5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143" w:rsidRPr="006242EB" w:rsidRDefault="005F2143" w:rsidP="00CE3312">
            <w:pPr>
              <w:rPr>
                <w:sz w:val="12"/>
                <w:szCs w:val="12"/>
              </w:rPr>
            </w:pPr>
            <w:r w:rsidRPr="006242EB">
              <w:rPr>
                <w:sz w:val="12"/>
                <w:szCs w:val="12"/>
              </w:rPr>
              <w:t>Average quantity per serving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143" w:rsidRPr="006242EB" w:rsidRDefault="005F2143" w:rsidP="00CE3312">
            <w:pPr>
              <w:rPr>
                <w:sz w:val="12"/>
                <w:szCs w:val="12"/>
              </w:rPr>
            </w:pPr>
            <w:r w:rsidRPr="006242EB">
              <w:rPr>
                <w:sz w:val="12"/>
                <w:szCs w:val="12"/>
              </w:rPr>
              <w:t>Average quantity per  100g</w:t>
            </w:r>
          </w:p>
        </w:tc>
      </w:tr>
      <w:tr w:rsidR="005F2143" w:rsidRPr="00A477FF" w:rsidTr="00C80067">
        <w:tblPrEx>
          <w:tblCellMar>
            <w:left w:w="28" w:type="dxa"/>
            <w:right w:w="28" w:type="dxa"/>
          </w:tblCellMar>
        </w:tblPrEx>
        <w:trPr>
          <w:cantSplit/>
          <w:trHeight w:val="31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  <w:r>
              <w:rPr>
                <w:sz w:val="14"/>
              </w:rPr>
              <w:t>Energy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784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proofErr w:type="spellStart"/>
            <w:r w:rsidRPr="00A477FF">
              <w:rPr>
                <w:rFonts w:eastAsia="Calibr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1740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proofErr w:type="spellStart"/>
            <w:r w:rsidRPr="00A477FF">
              <w:rPr>
                <w:rFonts w:eastAsia="Calibri"/>
                <w:sz w:val="12"/>
                <w:szCs w:val="12"/>
              </w:rPr>
              <w:t>kj</w:t>
            </w:r>
            <w:proofErr w:type="spellEnd"/>
          </w:p>
        </w:tc>
      </w:tr>
      <w:tr w:rsidR="005F2143" w:rsidRPr="00A477FF" w:rsidTr="00C80067">
        <w:tblPrEx>
          <w:tblCellMar>
            <w:left w:w="28" w:type="dxa"/>
            <w:right w:w="28" w:type="dxa"/>
          </w:tblCellMar>
        </w:tblPrEx>
        <w:trPr>
          <w:cantSplit/>
          <w:trHeight w:val="30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  <w:r>
              <w:rPr>
                <w:sz w:val="14"/>
              </w:rPr>
              <w:t>Protein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2.1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4.7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</w:tr>
      <w:tr w:rsidR="005F2143" w:rsidRPr="00A477FF" w:rsidTr="00C80067">
        <w:tblPrEx>
          <w:tblCellMar>
            <w:left w:w="28" w:type="dxa"/>
            <w:right w:w="28" w:type="dxa"/>
          </w:tblCellMar>
        </w:tblPrEx>
        <w:trPr>
          <w:cantSplit/>
          <w:trHeight w:val="31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  <w:r>
              <w:rPr>
                <w:sz w:val="14"/>
              </w:rPr>
              <w:t>Fat  total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5.0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11.0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</w:tr>
      <w:tr w:rsidR="005F2143" w:rsidRPr="00A477FF" w:rsidTr="00C80067">
        <w:tblPrEx>
          <w:tblCellMar>
            <w:left w:w="28" w:type="dxa"/>
            <w:right w:w="28" w:type="dxa"/>
          </w:tblCellMar>
        </w:tblPrEx>
        <w:trPr>
          <w:cantSplit/>
          <w:trHeight w:val="30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  <w:r>
              <w:rPr>
                <w:sz w:val="14"/>
              </w:rPr>
              <w:t xml:space="preserve">    - saturated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2.9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6.5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</w:tr>
      <w:tr w:rsidR="005F2143" w:rsidRPr="00A477FF" w:rsidTr="00C80067">
        <w:tblPrEx>
          <w:tblCellMar>
            <w:left w:w="28" w:type="dxa"/>
            <w:right w:w="28" w:type="dxa"/>
          </w:tblCellMar>
        </w:tblPrEx>
        <w:trPr>
          <w:cantSplit/>
          <w:trHeight w:val="31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  <w:r>
              <w:rPr>
                <w:sz w:val="14"/>
              </w:rPr>
              <w:t>Carbohydrate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32.9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73.1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</w:tr>
      <w:tr w:rsidR="005F2143" w:rsidRPr="00A477FF" w:rsidTr="00C80067">
        <w:tblPrEx>
          <w:tblCellMar>
            <w:left w:w="28" w:type="dxa"/>
            <w:right w:w="28" w:type="dxa"/>
          </w:tblCellMar>
        </w:tblPrEx>
        <w:trPr>
          <w:cantSplit/>
          <w:trHeight w:val="309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  <w:r>
              <w:rPr>
                <w:sz w:val="14"/>
              </w:rPr>
              <w:t xml:space="preserve">    - sugars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17.4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38.6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g</w:t>
            </w:r>
          </w:p>
        </w:tc>
      </w:tr>
      <w:tr w:rsidR="005F2143" w:rsidRPr="00A477FF" w:rsidTr="00C80067">
        <w:tblPrEx>
          <w:tblCellMar>
            <w:left w:w="28" w:type="dxa"/>
            <w:right w:w="28" w:type="dxa"/>
          </w:tblCellMar>
        </w:tblPrEx>
        <w:trPr>
          <w:cantSplit/>
          <w:trHeight w:val="2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143" w:rsidRDefault="005F2143" w:rsidP="00CE3312">
            <w:pPr>
              <w:rPr>
                <w:sz w:val="14"/>
              </w:rPr>
            </w:pPr>
            <w:r>
              <w:rPr>
                <w:sz w:val="14"/>
              </w:rPr>
              <w:t>Sodium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34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mg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143" w:rsidRPr="00A477FF" w:rsidRDefault="005F2143" w:rsidP="00CE3312">
            <w:pPr>
              <w:jc w:val="right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76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143" w:rsidRPr="00A477FF" w:rsidRDefault="005F2143" w:rsidP="00CE3312">
            <w:pPr>
              <w:rPr>
                <w:rFonts w:eastAsia="Calibri"/>
                <w:sz w:val="12"/>
                <w:szCs w:val="12"/>
              </w:rPr>
            </w:pPr>
            <w:r w:rsidRPr="00A477FF">
              <w:rPr>
                <w:rFonts w:eastAsia="Calibri"/>
                <w:sz w:val="12"/>
                <w:szCs w:val="12"/>
              </w:rPr>
              <w:t>mg</w:t>
            </w:r>
          </w:p>
        </w:tc>
      </w:tr>
    </w:tbl>
    <w:p w:rsidR="005F2143" w:rsidRDefault="005F2143" w:rsidP="005F2143">
      <w:pPr>
        <w:rPr>
          <w:lang w:val="en-US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1559560" cy="1628155"/>
            <wp:effectExtent l="0" t="0" r="2540" b="0"/>
            <wp:docPr id="1" name="Picture 1" descr="cid:c2daf583-493e-49ea-a7a4-e4a99a52f48d@KORP21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2daf583-493e-49ea-a7a4-e4a99a52f48d@KORP216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8" t="38350" r="33881" b="13714"/>
                    <a:stretch/>
                  </pic:blipFill>
                  <pic:spPr bwMode="auto">
                    <a:xfrm>
                      <a:off x="0" y="0"/>
                      <a:ext cx="1562495" cy="163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143" w:rsidRDefault="005F2143" w:rsidP="005F2143">
      <w:pPr>
        <w:rPr>
          <w:lang w:val="en-US"/>
        </w:rPr>
      </w:pPr>
    </w:p>
    <w:p w:rsidR="005F2143" w:rsidRDefault="005F2143" w:rsidP="005F2143">
      <w:pPr>
        <w:pStyle w:val="Title"/>
        <w:jc w:val="left"/>
        <w:rPr>
          <w:sz w:val="24"/>
        </w:rPr>
      </w:pPr>
    </w:p>
    <w:p w:rsidR="00C80067" w:rsidRDefault="00C80067" w:rsidP="005F2143">
      <w:pPr>
        <w:pStyle w:val="Title"/>
        <w:jc w:val="left"/>
        <w:rPr>
          <w:sz w:val="24"/>
        </w:rPr>
      </w:pPr>
    </w:p>
    <w:p w:rsidR="00C80067" w:rsidRDefault="00C80067" w:rsidP="005F2143">
      <w:pPr>
        <w:pStyle w:val="Title"/>
        <w:jc w:val="left"/>
        <w:rPr>
          <w:sz w:val="24"/>
        </w:rPr>
      </w:pPr>
    </w:p>
    <w:p w:rsidR="00C80067" w:rsidRDefault="00C80067" w:rsidP="005F2143">
      <w:pPr>
        <w:pStyle w:val="Title"/>
        <w:jc w:val="left"/>
        <w:rPr>
          <w:sz w:val="24"/>
        </w:rPr>
      </w:pPr>
    </w:p>
    <w:p w:rsidR="00C80067" w:rsidRDefault="00C80067" w:rsidP="005F2143">
      <w:pPr>
        <w:pStyle w:val="Title"/>
        <w:jc w:val="left"/>
        <w:rPr>
          <w:sz w:val="24"/>
        </w:rPr>
      </w:pPr>
    </w:p>
    <w:p w:rsidR="00307671" w:rsidRDefault="00307671" w:rsidP="00C80067">
      <w:pPr>
        <w:rPr>
          <w:rFonts w:ascii="Arial" w:hAnsi="Arial" w:cs="Arial"/>
          <w:lang w:val="en-US"/>
        </w:rPr>
      </w:pPr>
    </w:p>
    <w:p w:rsidR="00C80067" w:rsidRPr="00C80067" w:rsidRDefault="00C80067" w:rsidP="00C80067">
      <w:pPr>
        <w:rPr>
          <w:rFonts w:ascii="Arial" w:hAnsi="Arial" w:cs="Arial"/>
          <w:lang w:val="en-US"/>
        </w:rPr>
      </w:pPr>
      <w:r w:rsidRPr="00135F1E">
        <w:rPr>
          <w:rFonts w:ascii="Arial" w:hAnsi="Arial" w:cs="Arial"/>
          <w:lang w:val="en-US"/>
        </w:rPr>
        <w:t xml:space="preserve">Version </w:t>
      </w:r>
      <w:r>
        <w:rPr>
          <w:rFonts w:ascii="Arial" w:hAnsi="Arial" w:cs="Arial"/>
          <w:lang w:val="en-US"/>
        </w:rPr>
        <w:t>2</w:t>
      </w:r>
      <w:r w:rsidRPr="00135F1E">
        <w:rPr>
          <w:rFonts w:ascii="Arial" w:hAnsi="Arial" w:cs="Arial"/>
          <w:lang w:val="en-US"/>
        </w:rPr>
        <w:t>.0</w:t>
      </w:r>
      <w:r w:rsidRPr="00135F1E">
        <w:rPr>
          <w:rFonts w:ascii="Arial" w:hAnsi="Arial" w:cs="Arial"/>
          <w:lang w:val="en-US"/>
        </w:rPr>
        <w:tab/>
      </w:r>
      <w:r w:rsidRPr="00135F1E">
        <w:rPr>
          <w:rFonts w:ascii="Arial" w:hAnsi="Arial" w:cs="Arial"/>
          <w:lang w:val="en-US"/>
        </w:rPr>
        <w:tab/>
      </w:r>
      <w:r w:rsidRPr="00135F1E">
        <w:rPr>
          <w:rFonts w:ascii="Arial" w:hAnsi="Arial" w:cs="Arial"/>
          <w:lang w:val="en-US"/>
        </w:rPr>
        <w:tab/>
      </w:r>
      <w:r w:rsidRPr="00135F1E">
        <w:rPr>
          <w:rFonts w:ascii="Arial" w:hAnsi="Arial" w:cs="Arial"/>
          <w:lang w:val="en-US"/>
        </w:rPr>
        <w:tab/>
        <w:t xml:space="preserve">Issued </w:t>
      </w:r>
      <w:r>
        <w:rPr>
          <w:rFonts w:ascii="Arial" w:hAnsi="Arial" w:cs="Arial"/>
          <w:lang w:val="en-US"/>
        </w:rPr>
        <w:t>17</w:t>
      </w:r>
      <w:r w:rsidRPr="00135F1E">
        <w:rPr>
          <w:rFonts w:ascii="Arial" w:hAnsi="Arial" w:cs="Arial"/>
          <w:lang w:val="en-US"/>
        </w:rPr>
        <w:t>/0</w:t>
      </w:r>
      <w:r>
        <w:rPr>
          <w:rFonts w:ascii="Arial" w:hAnsi="Arial" w:cs="Arial"/>
          <w:lang w:val="en-US"/>
        </w:rPr>
        <w:t>5</w:t>
      </w:r>
      <w:r w:rsidRPr="00135F1E">
        <w:rPr>
          <w:rFonts w:ascii="Arial" w:hAnsi="Arial" w:cs="Arial"/>
          <w:lang w:val="en-US"/>
        </w:rPr>
        <w:t>/20</w:t>
      </w:r>
      <w:r>
        <w:rPr>
          <w:rFonts w:ascii="Arial" w:hAnsi="Arial" w:cs="Arial"/>
          <w:lang w:val="en-US"/>
        </w:rPr>
        <w:t>22</w:t>
      </w:r>
      <w:r w:rsidRPr="00135F1E">
        <w:rPr>
          <w:rFonts w:ascii="Arial" w:hAnsi="Arial" w:cs="Arial"/>
          <w:lang w:val="en-US"/>
        </w:rPr>
        <w:tab/>
      </w:r>
      <w:r w:rsidRPr="00135F1E">
        <w:rPr>
          <w:rFonts w:ascii="Arial" w:hAnsi="Arial" w:cs="Arial"/>
          <w:lang w:val="en-US"/>
        </w:rPr>
        <w:tab/>
      </w:r>
      <w:r w:rsidRPr="00135F1E">
        <w:rPr>
          <w:rFonts w:ascii="Arial" w:hAnsi="Arial" w:cs="Arial"/>
          <w:lang w:val="en-US"/>
        </w:rPr>
        <w:tab/>
        <w:t xml:space="preserve">Issued by </w:t>
      </w:r>
      <w:r>
        <w:rPr>
          <w:rFonts w:ascii="Arial" w:hAnsi="Arial" w:cs="Arial"/>
          <w:lang w:val="en-US"/>
        </w:rPr>
        <w:t>Neeta V.</w:t>
      </w:r>
    </w:p>
    <w:sectPr w:rsidR="00C80067" w:rsidRPr="00C80067" w:rsidSect="00C61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347F"/>
    <w:multiLevelType w:val="singleLevel"/>
    <w:tmpl w:val="18B42E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597F45"/>
    <w:multiLevelType w:val="singleLevel"/>
    <w:tmpl w:val="18B42E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9C1631"/>
    <w:multiLevelType w:val="singleLevel"/>
    <w:tmpl w:val="18B42E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9B57A3D"/>
    <w:multiLevelType w:val="hybridMultilevel"/>
    <w:tmpl w:val="8578B802"/>
    <w:lvl w:ilvl="0" w:tplc="18B42EA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CE"/>
    <w:rsid w:val="000A5057"/>
    <w:rsid w:val="000F4E58"/>
    <w:rsid w:val="0013747A"/>
    <w:rsid w:val="001E5DA2"/>
    <w:rsid w:val="00267374"/>
    <w:rsid w:val="002935DC"/>
    <w:rsid w:val="002A45A9"/>
    <w:rsid w:val="002A5C91"/>
    <w:rsid w:val="002D0F2B"/>
    <w:rsid w:val="002D3A7B"/>
    <w:rsid w:val="003073C5"/>
    <w:rsid w:val="00307671"/>
    <w:rsid w:val="003264CE"/>
    <w:rsid w:val="00332DB4"/>
    <w:rsid w:val="00370230"/>
    <w:rsid w:val="0039009C"/>
    <w:rsid w:val="00396802"/>
    <w:rsid w:val="003D4DB5"/>
    <w:rsid w:val="0040636D"/>
    <w:rsid w:val="0043106D"/>
    <w:rsid w:val="00442A43"/>
    <w:rsid w:val="004442FD"/>
    <w:rsid w:val="004B140A"/>
    <w:rsid w:val="004B3350"/>
    <w:rsid w:val="0055678E"/>
    <w:rsid w:val="005977DF"/>
    <w:rsid w:val="005F2143"/>
    <w:rsid w:val="007C120B"/>
    <w:rsid w:val="007C3E82"/>
    <w:rsid w:val="007E6391"/>
    <w:rsid w:val="007F3E44"/>
    <w:rsid w:val="0080296F"/>
    <w:rsid w:val="008510D6"/>
    <w:rsid w:val="008B1797"/>
    <w:rsid w:val="008B5BCA"/>
    <w:rsid w:val="008C5024"/>
    <w:rsid w:val="009910CF"/>
    <w:rsid w:val="009B17B2"/>
    <w:rsid w:val="009D4DD0"/>
    <w:rsid w:val="00A20B98"/>
    <w:rsid w:val="00A219A9"/>
    <w:rsid w:val="00A939AB"/>
    <w:rsid w:val="00AD5770"/>
    <w:rsid w:val="00AE559F"/>
    <w:rsid w:val="00B07E4C"/>
    <w:rsid w:val="00B42065"/>
    <w:rsid w:val="00B72538"/>
    <w:rsid w:val="00C45414"/>
    <w:rsid w:val="00C61140"/>
    <w:rsid w:val="00C80067"/>
    <w:rsid w:val="00C83860"/>
    <w:rsid w:val="00CB1B1E"/>
    <w:rsid w:val="00CB794D"/>
    <w:rsid w:val="00CC3FFD"/>
    <w:rsid w:val="00D71922"/>
    <w:rsid w:val="00D778CD"/>
    <w:rsid w:val="00DC3031"/>
    <w:rsid w:val="00E55E65"/>
    <w:rsid w:val="00E74F54"/>
    <w:rsid w:val="00EE6D49"/>
    <w:rsid w:val="00F634D6"/>
    <w:rsid w:val="00F70E7B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9EE4"/>
  <w15:chartTrackingRefBased/>
  <w15:docId w15:val="{B03D4C1F-6045-4C55-A6E3-84ED15A2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21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F21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F21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14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F214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F2143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5F2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F2143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c2daf583-493e-49ea-a7a4-e4a99a52f48d@KORP216.PROD.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0403-0336-4F98-89AF-A5A870A3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</dc:creator>
  <cp:keywords/>
  <dc:description/>
  <cp:lastModifiedBy>Office</cp:lastModifiedBy>
  <cp:revision>13</cp:revision>
  <dcterms:created xsi:type="dcterms:W3CDTF">2018-03-26T22:15:00Z</dcterms:created>
  <dcterms:modified xsi:type="dcterms:W3CDTF">2022-05-17T02:32:00Z</dcterms:modified>
</cp:coreProperties>
</file>